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99CA" w14:textId="703F1836" w:rsidR="002A42AE" w:rsidRPr="00877645" w:rsidRDefault="00AF5307">
      <w:pPr>
        <w:rPr>
          <w:sz w:val="32"/>
          <w:szCs w:val="32"/>
          <w:u w:val="single"/>
        </w:rPr>
      </w:pPr>
      <w:r w:rsidRPr="00877645">
        <w:rPr>
          <w:sz w:val="32"/>
          <w:szCs w:val="32"/>
          <w:u w:val="single"/>
        </w:rPr>
        <w:t xml:space="preserve">Fire tax at rate of up to 10 cents per $100 valuation </w:t>
      </w:r>
    </w:p>
    <w:p w14:paraId="45F9AF19" w14:textId="7171FB9C" w:rsidR="00AF5307" w:rsidRP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Enacted by special taxing district ordinance KRS 65.182</w:t>
      </w:r>
    </w:p>
    <w:p w14:paraId="2C5742F9" w14:textId="5DCAF164" w:rsidR="00AF5307" w:rsidRP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What it can be charged to:</w:t>
      </w:r>
    </w:p>
    <w:p w14:paraId="375352E5" w14:textId="44F12855" w:rsidR="00AF5307" w:rsidRP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Real Property: Residential, farm, commercial</w:t>
      </w:r>
    </w:p>
    <w:p w14:paraId="5B07FAFB" w14:textId="405750B6" w:rsidR="00AF5307" w:rsidRP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Motor vehicles</w:t>
      </w:r>
    </w:p>
    <w:p w14:paraId="39DEC553" w14:textId="70015D46" w:rsidR="00AF5307" w:rsidRP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Tangible property</w:t>
      </w:r>
    </w:p>
    <w:p w14:paraId="609C533C" w14:textId="4DCBC0D1" w:rsidR="00AF5307" w:rsidRDefault="00AF5307">
      <w:pPr>
        <w:rPr>
          <w:sz w:val="28"/>
          <w:szCs w:val="28"/>
        </w:rPr>
      </w:pPr>
      <w:r w:rsidRPr="00AF5307">
        <w:rPr>
          <w:sz w:val="28"/>
          <w:szCs w:val="28"/>
        </w:rPr>
        <w:t>Public Service Corporations (franchise) Real property and tangible</w:t>
      </w:r>
    </w:p>
    <w:p w14:paraId="6BE4F23D" w14:textId="77777777" w:rsidR="00897800" w:rsidRDefault="00897800">
      <w:pPr>
        <w:rPr>
          <w:sz w:val="28"/>
          <w:szCs w:val="28"/>
        </w:rPr>
      </w:pPr>
    </w:p>
    <w:p w14:paraId="05DBA3B1" w14:textId="77777777" w:rsidR="00897800" w:rsidRDefault="00897800">
      <w:pPr>
        <w:rPr>
          <w:sz w:val="28"/>
          <w:szCs w:val="28"/>
        </w:rPr>
      </w:pPr>
    </w:p>
    <w:p w14:paraId="2A342240" w14:textId="77777777" w:rsidR="00897800" w:rsidRDefault="00897800">
      <w:pPr>
        <w:rPr>
          <w:sz w:val="28"/>
          <w:szCs w:val="28"/>
        </w:rPr>
      </w:pPr>
    </w:p>
    <w:p w14:paraId="1716C1B9" w14:textId="77777777" w:rsidR="00897800" w:rsidRPr="00877645" w:rsidRDefault="00897800" w:rsidP="00897800">
      <w:pPr>
        <w:rPr>
          <w:sz w:val="32"/>
          <w:szCs w:val="32"/>
          <w:u w:val="single"/>
        </w:rPr>
      </w:pPr>
      <w:r w:rsidRPr="00877645">
        <w:rPr>
          <w:sz w:val="32"/>
          <w:szCs w:val="32"/>
          <w:u w:val="single"/>
        </w:rPr>
        <w:t>Subscription Fee flat fee per property deed</w:t>
      </w:r>
    </w:p>
    <w:p w14:paraId="5F128EC7" w14:textId="70F79619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 xml:space="preserve">Enacted by ordinance 75.450 </w:t>
      </w:r>
      <w:r>
        <w:rPr>
          <w:sz w:val="28"/>
          <w:szCs w:val="28"/>
        </w:rPr>
        <w:t>and/</w:t>
      </w:r>
      <w:r w:rsidRPr="00AD6DFA">
        <w:rPr>
          <w:sz w:val="28"/>
          <w:szCs w:val="28"/>
        </w:rPr>
        <w:t>or 273.401</w:t>
      </w:r>
    </w:p>
    <w:p w14:paraId="65FC4773" w14:textId="77777777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What it can be charged to:</w:t>
      </w:r>
    </w:p>
    <w:p w14:paraId="1A4DFAD8" w14:textId="77777777" w:rsidR="00897800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Real Property: residential, farm, commercial deeds</w:t>
      </w:r>
    </w:p>
    <w:p w14:paraId="3C9CF1CF" w14:textId="77777777" w:rsidR="00897800" w:rsidRDefault="00897800" w:rsidP="00897800">
      <w:pPr>
        <w:rPr>
          <w:sz w:val="28"/>
          <w:szCs w:val="28"/>
        </w:rPr>
      </w:pPr>
      <w:r>
        <w:rPr>
          <w:sz w:val="28"/>
          <w:szCs w:val="28"/>
        </w:rPr>
        <w:t>Opt-out Clause</w:t>
      </w:r>
    </w:p>
    <w:p w14:paraId="6BF554A9" w14:textId="77777777" w:rsidR="00897800" w:rsidRPr="00AD6DFA" w:rsidRDefault="00897800" w:rsidP="00897800">
      <w:pPr>
        <w:rPr>
          <w:sz w:val="28"/>
          <w:szCs w:val="28"/>
        </w:rPr>
      </w:pPr>
    </w:p>
    <w:p w14:paraId="3DBDB5A8" w14:textId="77777777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What is not charged</w:t>
      </w:r>
      <w:r>
        <w:rPr>
          <w:sz w:val="28"/>
          <w:szCs w:val="28"/>
        </w:rPr>
        <w:t>:</w:t>
      </w:r>
    </w:p>
    <w:p w14:paraId="31EEB4FD" w14:textId="77777777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Motor vehicles</w:t>
      </w:r>
    </w:p>
    <w:p w14:paraId="2DA22846" w14:textId="77777777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Tangible property</w:t>
      </w:r>
    </w:p>
    <w:p w14:paraId="40EFE184" w14:textId="77777777" w:rsidR="00897800" w:rsidRPr="00AD6DFA" w:rsidRDefault="00897800" w:rsidP="00897800">
      <w:pPr>
        <w:rPr>
          <w:sz w:val="28"/>
          <w:szCs w:val="28"/>
        </w:rPr>
      </w:pPr>
      <w:r w:rsidRPr="00AD6DFA">
        <w:rPr>
          <w:sz w:val="28"/>
          <w:szCs w:val="28"/>
        </w:rPr>
        <w:t>Public Service Corporations (franchise) Real property and tangible</w:t>
      </w:r>
    </w:p>
    <w:p w14:paraId="1E75F45C" w14:textId="77777777" w:rsidR="00897800" w:rsidRPr="00AF5307" w:rsidRDefault="00897800">
      <w:pPr>
        <w:rPr>
          <w:sz w:val="28"/>
          <w:szCs w:val="28"/>
        </w:rPr>
      </w:pPr>
    </w:p>
    <w:p w14:paraId="433EBA76" w14:textId="77777777" w:rsidR="00AF5307" w:rsidRDefault="00AF5307"/>
    <w:sectPr w:rsidR="00AF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7"/>
    <w:rsid w:val="002A42AE"/>
    <w:rsid w:val="00751707"/>
    <w:rsid w:val="00877645"/>
    <w:rsid w:val="00897800"/>
    <w:rsid w:val="00A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DCE"/>
  <w15:chartTrackingRefBased/>
  <w15:docId w15:val="{EC552895-D311-4FFF-826F-C5AD2CB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McQueary</dc:creator>
  <cp:keywords/>
  <dc:description/>
  <cp:lastModifiedBy>Thomas McQueary</cp:lastModifiedBy>
  <cp:revision>5</cp:revision>
  <dcterms:created xsi:type="dcterms:W3CDTF">2024-03-02T03:50:00Z</dcterms:created>
  <dcterms:modified xsi:type="dcterms:W3CDTF">2024-03-05T07:42:00Z</dcterms:modified>
</cp:coreProperties>
</file>